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E3E400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                   МЕНЮ ПО МБОУ ООШ №11 на  «2</w:t>
      </w:r>
      <w:r>
        <w:rPr>
          <w:b w:val="1"/>
          <w:sz w:val="28"/>
        </w:rPr>
        <w:t>9</w:t>
      </w:r>
      <w:r>
        <w:rPr>
          <w:b w:val="1"/>
          <w:sz w:val="28"/>
        </w:rPr>
        <w:t>» июня 2021 г.</w:t>
      </w:r>
    </w:p>
    <w:p>
      <w:pPr>
        <w:spacing w:after="0" w:beforeAutospacing="0" w:afterAutospacing="0"/>
        <w:jc w:val="center"/>
        <w:rPr>
          <w:b w:val="1"/>
          <w:sz w:val="28"/>
        </w:rPr>
      </w:pPr>
    </w:p>
    <w:tbl>
      <w:tblPr>
        <w:tblW w:w="850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/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пищи</w:t>
            </w: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Блюдо 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Выход, г.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Цена </w:t>
            </w: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Калорийность 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Жиры 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Углеводы </w:t>
            </w:r>
          </w:p>
        </w:tc>
      </w:tr>
      <w:tr>
        <w:trPr>
          <w:trHeight w:hRule="atLeast" w:val="1034"/>
        </w:trP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tabs>
                <w:tab w:val="left" w:pos="8640" w:leader="none"/>
              </w:tabs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Завтрак  </w:t>
            </w: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Гор. блюдо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манная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,66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8,58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17,75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напиток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кофейный напиток на молоке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106,6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22,0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Батон йодированный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3.37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1.35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22.45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сливочное порц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auto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0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shadow="0" w:frame="0" w:color="000001"/>
              <w:left w:val="single" w:sz="4" w:space="0" w:shadow="0" w:frame="0" w:color="auto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auto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Обед</w:t>
            </w: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блюдо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 гороховый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127.</w:t>
            </w: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7,15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20,15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блюдо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рожки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304,8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13,15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14,02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86,89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Гарнир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</w:t>
            </w:r>
            <w:r>
              <w:rPr>
                <w:rFonts w:ascii="Times New Roman" w:hAnsi="Times New Roman"/>
                <w:sz w:val="24"/>
              </w:rPr>
              <w:t>иска отв.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118,72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5,51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11,23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йогурт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116,0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 бел.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 черн.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Напиток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5,3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150 руб</w:t>
            </w: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</w:tr>
    </w:tbl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Standard"/>
    <w:pPr>
      <w:suppressAutoHyphens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